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8F52" w14:textId="77777777" w:rsidR="00A243D5" w:rsidRPr="00C4279B" w:rsidRDefault="00A243D5">
      <w:pPr>
        <w:rPr>
          <w:b/>
          <w:color w:val="000000" w:themeColor="text1"/>
          <w:u w:val="single"/>
        </w:rPr>
      </w:pPr>
      <w:bookmarkStart w:id="0" w:name="_GoBack"/>
      <w:bookmarkEnd w:id="0"/>
    </w:p>
    <w:p w14:paraId="71153366" w14:textId="77777777" w:rsidR="00184F94" w:rsidRPr="00C4279B" w:rsidRDefault="00184F94" w:rsidP="00184F94">
      <w:pPr>
        <w:jc w:val="center"/>
        <w:rPr>
          <w:b/>
          <w:color w:val="000000" w:themeColor="text1"/>
          <w:sz w:val="32"/>
        </w:rPr>
      </w:pPr>
      <w:r w:rsidRPr="00C4279B">
        <w:rPr>
          <w:b/>
          <w:i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64BDC" wp14:editId="13591256">
                <wp:simplePos x="0" y="0"/>
                <wp:positionH relativeFrom="column">
                  <wp:posOffset>-228600</wp:posOffset>
                </wp:positionH>
                <wp:positionV relativeFrom="paragraph">
                  <wp:posOffset>393065</wp:posOffset>
                </wp:positionV>
                <wp:extent cx="5943600" cy="5715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6D4A0" w14:textId="77777777" w:rsidR="00E35D5B" w:rsidRDefault="00E35D5B" w:rsidP="008B6D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 of Activities:</w:t>
                            </w:r>
                          </w:p>
                          <w:p w14:paraId="68E7D56A" w14:textId="6F27C695" w:rsidR="00E35D5B" w:rsidRPr="00A86112" w:rsidRDefault="00E35D5B" w:rsidP="008B6D8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Two-Week Comprehension Unit</w:t>
                            </w:r>
                          </w:p>
                          <w:p w14:paraId="20F334CD" w14:textId="77777777" w:rsidR="00E35D5B" w:rsidRDefault="00E35D5B" w:rsidP="008B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95pt;margin-top:30.95pt;width:46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mIRf0CAACKBgAADgAAAGRycy9lMm9Eb2MueG1srFVLb9swDL4P2H8QdE9tp07TGHUKN0GGAV1b&#10;rB16VmQ5MabXJCVxNuy/j5LtNH0c1mEXhxIfIj9+ZC4uG8HRlhlbK5nj5CTGiEmqylqucvztYTE4&#10;x8g6IkvClWQ53jOLL6cfP1zsdMaGaq14yQyCINJmO53jtXM6iyJL10wQe6I0k6CslBHEwdGsotKQ&#10;HUQXPBrG8Vm0U6bURlFmLdzOWyWehvhVxai7rSrLHOI5htxc+JrwXfpvNL0g2coQva5plwb5hywE&#10;qSU8egg1J46gjalfhRI1Ncqqyp1QJSJVVTVloQaoJolfVHO/JpqFWgAcqw8w2f8Xlt5s7wyqyxyf&#10;YiSJgBY9sMahK9WgU4/OTtsMjO41mLkGrqHL/b2FS190Uxnhf6EcBHrAeX/A1gejcDmapKdnMago&#10;6EbjZAQyhI+evLWx7hNTAnkhxwZ6FyAl22vrWtPexD9mFa/LRc15OHi+sBk3aEug08tVElz5RnxR&#10;ZXs3hhf7JwO9vHlI4FkkLl8HN6vlIXS6OE+u5l3qR55QSOvKAuvalEkG5YPoQ3ogAiN+zUbjYTEe&#10;TQZnxSgZpEl8PiiKeDiYL4q4iNPFbJJe/Yb8BUnSbAfc1MBs3xVAf8HJquOBV/8dEQShz8YmSaJA&#10;2BZUCBxg6FONfMvb1gbJ7TnzBXD5lVVAldDhN0AnlDLpAjkCGGDtrSpo0XscO/sAWYDyPc4t+P3L&#10;SrqDs6ilMoEUh+a3vCi/9ylXrT2AcVS3F12zbMKMHJi/VOUeBsKodqFYTRc1sPaaWHdHDGwQIDps&#10;RXcLn4qrXY5VJ2G0VubnW/feHvoJWox813Nsf2yIYRjxzxJGfpKkqV9h4ZACh+BgjjXLY43ciJmC&#10;UUhg/2oaRG/veC9WRolHWJ6FfxVURFJ4O8euF2eu3ZOwfCkrimAES0sTdy3vNfWhfZP8TD40j8To&#10;bnAdEOlG9buLZC/mt7X1nlIVG6eqOgy3x7lFtcMfFl6gZbec/UY9Pgerp7+Q6R8AAAD//wMAUEsD&#10;BBQABgAIAAAAIQDsmEs34AAAAAoBAAAPAAAAZHJzL2Rvd25yZXYueG1sTI9NT8MwDIbvSPyHyEjc&#10;trTABitNJwSa2C5IbEO7Zo1pKxKnatIP/j3mBCfL9qPXj/P15KwYsAuNJwXpPAGBVHrTUKXgeNjM&#10;HkCEqMlo6wkVfGOAdXF5kevM+JHecdjHSnAIhUwrqGNsMylDWaPTYe5bJN59+s7pyG1XSdPpkcOd&#10;lTdJspRON8QXat3ic43l1753CobD6JrT3e7lePrYbl+t39y/9alS11fT0yOIiFP8g+FXn9WhYKez&#10;78kEYRXMbhcrRhUsU64MrJIkBXFmcsETWeTy/wvFDwAAAP//AwBQSwECLQAUAAYACAAAACEA5JnD&#10;wPsAAADhAQAAEwAAAAAAAAAAAAAAAAAAAAAAW0NvbnRlbnRfVHlwZXNdLnhtbFBLAQItABQABgAI&#10;AAAAIQAjsmrh1wAAAJQBAAALAAAAAAAAAAAAAAAAACwBAABfcmVscy8ucmVsc1BLAQItABQABgAI&#10;AAAAIQCveYhF/QIAAIoGAAAOAAAAAAAAAAAAAAAAACwCAABkcnMvZTJvRG9jLnhtbFBLAQItABQA&#10;BgAIAAAAIQDsmEs34AAAAAoBAAAPAAAAAAAAAAAAAAAAAFUFAABkcnMvZG93bnJldi54bWxQSwUG&#10;AAAAAAQABADzAAAAYgYAAAAA&#10;" fillcolor="#bfbfbf [2412]" strokecolor="#4f81bd">
                <v:textbox>
                  <w:txbxContent>
                    <w:p w14:paraId="4A16D4A0" w14:textId="77777777" w:rsidR="00066847" w:rsidRDefault="00066847" w:rsidP="008B6D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 of Activities:</w:t>
                      </w:r>
                    </w:p>
                    <w:p w14:paraId="68E7D56A" w14:textId="6F27C695" w:rsidR="00066847" w:rsidRPr="00A86112" w:rsidRDefault="00066847" w:rsidP="008B6D8B">
                      <w:pPr>
                        <w:jc w:val="center"/>
                      </w:pPr>
                      <w:r>
                        <w:rPr>
                          <w:b/>
                        </w:rPr>
                        <w:t>Two-Week Comprehension Unit</w:t>
                      </w:r>
                    </w:p>
                    <w:p w14:paraId="20F334CD" w14:textId="77777777" w:rsidR="00066847" w:rsidRDefault="00066847" w:rsidP="008B6D8B"/>
                  </w:txbxContent>
                </v:textbox>
                <w10:wrap type="square"/>
              </v:shape>
            </w:pict>
          </mc:Fallback>
        </mc:AlternateContent>
      </w:r>
      <w:r w:rsidRPr="00C4279B">
        <w:rPr>
          <w:b/>
          <w:color w:val="000000" w:themeColor="text1"/>
          <w:sz w:val="32"/>
        </w:rPr>
        <w:t>L.A. Intervention Project</w:t>
      </w:r>
    </w:p>
    <w:p w14:paraId="5561BE7F" w14:textId="77777777" w:rsidR="00184F94" w:rsidRPr="00C4279B" w:rsidRDefault="00184F94" w:rsidP="00184F94">
      <w:pPr>
        <w:jc w:val="center"/>
        <w:rPr>
          <w:color w:val="000000" w:themeColor="text1"/>
          <w:sz w:val="20"/>
        </w:rPr>
      </w:pPr>
    </w:p>
    <w:p w14:paraId="21D60473" w14:textId="64D70E26" w:rsidR="008B6D8B" w:rsidRPr="00C4279B" w:rsidRDefault="008B6D8B" w:rsidP="008B6D8B">
      <w:pPr>
        <w:rPr>
          <w:color w:val="000000" w:themeColor="text1"/>
          <w:sz w:val="20"/>
        </w:rPr>
      </w:pPr>
      <w:r w:rsidRPr="00C4279B">
        <w:rPr>
          <w:color w:val="000000" w:themeColor="text1"/>
          <w:sz w:val="20"/>
        </w:rPr>
        <w:t xml:space="preserve">This schedule is designed for </w:t>
      </w:r>
      <w:r w:rsidR="00494928">
        <w:rPr>
          <w:color w:val="000000" w:themeColor="text1"/>
          <w:sz w:val="20"/>
        </w:rPr>
        <w:t>a 90</w:t>
      </w:r>
      <w:r w:rsidR="00494928" w:rsidRPr="00C4279B">
        <w:rPr>
          <w:color w:val="000000" w:themeColor="text1"/>
          <w:sz w:val="20"/>
        </w:rPr>
        <w:t xml:space="preserve">-minute period of </w:t>
      </w:r>
      <w:r w:rsidR="00494928">
        <w:rPr>
          <w:color w:val="000000" w:themeColor="text1"/>
          <w:sz w:val="20"/>
        </w:rPr>
        <w:t>comprehension</w:t>
      </w:r>
      <w:r w:rsidR="00494928" w:rsidRPr="00C4279B">
        <w:rPr>
          <w:color w:val="000000" w:themeColor="text1"/>
          <w:sz w:val="20"/>
        </w:rPr>
        <w:t xml:space="preserve"> intervention</w:t>
      </w:r>
      <w:r w:rsidR="00494928">
        <w:rPr>
          <w:color w:val="000000" w:themeColor="text1"/>
          <w:sz w:val="20"/>
        </w:rPr>
        <w:t>, two to three times a week (as in a block schedule)</w:t>
      </w:r>
      <w:r w:rsidR="00494928" w:rsidRPr="00C4279B">
        <w:rPr>
          <w:color w:val="000000" w:themeColor="text1"/>
          <w:sz w:val="20"/>
        </w:rPr>
        <w:t xml:space="preserve">. </w:t>
      </w:r>
      <w:r w:rsidRPr="00C4279B">
        <w:rPr>
          <w:color w:val="000000" w:themeColor="text1"/>
          <w:sz w:val="20"/>
        </w:rPr>
        <w:t xml:space="preserve">Each unit is </w:t>
      </w:r>
      <w:r w:rsidR="00C06651" w:rsidRPr="00C4279B">
        <w:rPr>
          <w:color w:val="000000" w:themeColor="text1"/>
          <w:sz w:val="20"/>
        </w:rPr>
        <w:t>two</w:t>
      </w:r>
      <w:r w:rsidR="00184F94" w:rsidRPr="00C4279B">
        <w:rPr>
          <w:color w:val="000000" w:themeColor="text1"/>
          <w:sz w:val="20"/>
        </w:rPr>
        <w:t xml:space="preserve"> week</w:t>
      </w:r>
      <w:r w:rsidR="00C06651" w:rsidRPr="00C4279B">
        <w:rPr>
          <w:color w:val="000000" w:themeColor="text1"/>
          <w:sz w:val="20"/>
        </w:rPr>
        <w:t>s</w:t>
      </w:r>
      <w:r w:rsidRPr="00C4279B">
        <w:rPr>
          <w:color w:val="000000" w:themeColor="text1"/>
          <w:sz w:val="20"/>
        </w:rPr>
        <w:t xml:space="preserve"> long</w:t>
      </w:r>
      <w:r w:rsidR="003E6B22" w:rsidRPr="00C4279B">
        <w:rPr>
          <w:color w:val="000000" w:themeColor="text1"/>
          <w:sz w:val="20"/>
        </w:rPr>
        <w:t>, with Fridays reserved for review, assessment, student conferences, and presentations</w:t>
      </w:r>
      <w:r w:rsidRPr="00C4279B">
        <w:rPr>
          <w:color w:val="000000" w:themeColor="text1"/>
          <w:sz w:val="20"/>
        </w:rPr>
        <w:t xml:space="preserve">. </w:t>
      </w:r>
      <w:r w:rsidR="00283BD6" w:rsidRPr="00C4279B">
        <w:rPr>
          <w:color w:val="000000" w:themeColor="text1"/>
          <w:sz w:val="20"/>
        </w:rPr>
        <w:t>The schedule</w:t>
      </w:r>
      <w:r w:rsidRPr="00C4279B">
        <w:rPr>
          <w:color w:val="000000" w:themeColor="text1"/>
          <w:sz w:val="20"/>
        </w:rPr>
        <w:t xml:space="preserve"> should be adjusted as needed to suit the bell schedule</w:t>
      </w:r>
      <w:r w:rsidR="00283BD6" w:rsidRPr="00C4279B">
        <w:rPr>
          <w:color w:val="000000" w:themeColor="text1"/>
          <w:sz w:val="20"/>
        </w:rPr>
        <w:t xml:space="preserve"> of your particular high school, </w:t>
      </w:r>
      <w:r w:rsidR="00283BD6" w:rsidRPr="00C4279B">
        <w:rPr>
          <w:b/>
          <w:i/>
          <w:color w:val="000000" w:themeColor="text1"/>
          <w:sz w:val="20"/>
        </w:rPr>
        <w:t>h</w:t>
      </w:r>
      <w:r w:rsidRPr="00C4279B">
        <w:rPr>
          <w:b/>
          <w:i/>
          <w:color w:val="000000" w:themeColor="text1"/>
          <w:sz w:val="20"/>
        </w:rPr>
        <w:t>owever, it is important that the intensity of the intervention be maintained to make the intervention successful.</w:t>
      </w:r>
      <w:r w:rsidRPr="00C4279B">
        <w:rPr>
          <w:i/>
          <w:color w:val="000000" w:themeColor="text1"/>
          <w:sz w:val="20"/>
        </w:rPr>
        <w:t xml:space="preserve"> </w:t>
      </w:r>
      <w:r w:rsidRPr="00C4279B">
        <w:rPr>
          <w:color w:val="000000" w:themeColor="text1"/>
          <w:sz w:val="20"/>
        </w:rPr>
        <w:t>Fewer hours per week is not recommended!</w:t>
      </w:r>
    </w:p>
    <w:p w14:paraId="78A4D294" w14:textId="77777777" w:rsidR="00A243D5" w:rsidRPr="00C4279B" w:rsidRDefault="00A243D5" w:rsidP="003E6B22">
      <w:pPr>
        <w:rPr>
          <w:color w:val="000000" w:themeColor="text1"/>
        </w:rPr>
      </w:pPr>
    </w:p>
    <w:tbl>
      <w:tblPr>
        <w:tblStyle w:val="LightGrid"/>
        <w:tblW w:w="5285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760"/>
        <w:gridCol w:w="1490"/>
        <w:gridCol w:w="1350"/>
        <w:gridCol w:w="4050"/>
        <w:gridCol w:w="1711"/>
      </w:tblGrid>
      <w:tr w:rsidR="009F53D8" w:rsidRPr="003E6B22" w14:paraId="5932BB2E" w14:textId="77777777" w:rsidTr="009F5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BFBFBF" w:themeFill="background1" w:themeFillShade="BF"/>
            <w:vAlign w:val="center"/>
          </w:tcPr>
          <w:p w14:paraId="6FC53651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Mins. per day</w:t>
            </w:r>
          </w:p>
        </w:tc>
        <w:tc>
          <w:tcPr>
            <w:tcW w:w="796" w:type="pct"/>
            <w:shd w:val="clear" w:color="auto" w:fill="BFBFBF" w:themeFill="background1" w:themeFillShade="BF"/>
            <w:vAlign w:val="center"/>
          </w:tcPr>
          <w:p w14:paraId="7BC1A53A" w14:textId="77777777" w:rsidR="009F53D8" w:rsidRPr="003E6B22" w:rsidRDefault="009F53D8" w:rsidP="00142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Content</w:t>
            </w:r>
          </w:p>
        </w:tc>
        <w:tc>
          <w:tcPr>
            <w:tcW w:w="2884" w:type="pct"/>
            <w:gridSpan w:val="2"/>
            <w:shd w:val="clear" w:color="auto" w:fill="BFBFBF" w:themeFill="background1" w:themeFillShade="BF"/>
            <w:vAlign w:val="center"/>
          </w:tcPr>
          <w:p w14:paraId="66C9ACCC" w14:textId="77777777" w:rsidR="009F53D8" w:rsidRPr="003E6B22" w:rsidRDefault="009F53D8" w:rsidP="00142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Focus of activities</w:t>
            </w:r>
          </w:p>
        </w:tc>
        <w:tc>
          <w:tcPr>
            <w:tcW w:w="914" w:type="pct"/>
            <w:shd w:val="clear" w:color="auto" w:fill="BFBFBF" w:themeFill="background1" w:themeFillShade="BF"/>
            <w:vAlign w:val="center"/>
          </w:tcPr>
          <w:p w14:paraId="61F6EEC4" w14:textId="77777777" w:rsidR="009F53D8" w:rsidRPr="003E6B22" w:rsidRDefault="009F53D8" w:rsidP="00142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Associated materials</w:t>
            </w:r>
          </w:p>
        </w:tc>
      </w:tr>
      <w:tr w:rsidR="009F53D8" w:rsidRPr="003E6B22" w14:paraId="27D7A958" w14:textId="77777777" w:rsidTr="0014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000000" w:themeFill="text1"/>
          </w:tcPr>
          <w:p w14:paraId="0A43B5B9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shd w:val="clear" w:color="auto" w:fill="000000" w:themeFill="text1"/>
          </w:tcPr>
          <w:p w14:paraId="629F1DCC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721" w:type="pct"/>
            <w:shd w:val="clear" w:color="auto" w:fill="000000" w:themeFill="text1"/>
          </w:tcPr>
          <w:p w14:paraId="0D46FFAB" w14:textId="77777777" w:rsidR="009F53D8" w:rsidRPr="003E6B22" w:rsidRDefault="009F53D8" w:rsidP="00142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163" w:type="pct"/>
            <w:shd w:val="clear" w:color="auto" w:fill="000000" w:themeFill="text1"/>
          </w:tcPr>
          <w:p w14:paraId="77CAED74" w14:textId="5C5EE727" w:rsidR="009F53D8" w:rsidRPr="003E6B22" w:rsidRDefault="009F53D8" w:rsidP="0014257B">
            <w:pPr>
              <w:ind w:right="-1688" w:hanging="29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MONDAY - THURSDAY</w:t>
            </w:r>
          </w:p>
        </w:tc>
        <w:tc>
          <w:tcPr>
            <w:tcW w:w="914" w:type="pct"/>
            <w:shd w:val="clear" w:color="auto" w:fill="000000" w:themeFill="text1"/>
          </w:tcPr>
          <w:p w14:paraId="3F046D08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34372362" w14:textId="77777777" w:rsidTr="009F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17885BDB" w14:textId="3B3B16CA" w:rsidR="009F53D8" w:rsidRPr="003E6B22" w:rsidRDefault="00DE2794" w:rsidP="0014257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  <w:p w14:paraId="65388D97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708669C" w14:textId="77777777" w:rsidR="009F53D8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Daily Warm-up</w:t>
            </w:r>
          </w:p>
          <w:p w14:paraId="459CBA10" w14:textId="08553DA6" w:rsidR="005E4E79" w:rsidRPr="003E6B22" w:rsidRDefault="005E4E79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7C73A8">
              <w:rPr>
                <w:b/>
                <w:i/>
                <w:color w:val="FF0000"/>
                <w:sz w:val="14"/>
                <w:szCs w:val="14"/>
              </w:rPr>
              <w:t>Strategy practice</w:t>
            </w:r>
          </w:p>
        </w:tc>
        <w:tc>
          <w:tcPr>
            <w:tcW w:w="2884" w:type="pct"/>
            <w:gridSpan w:val="2"/>
          </w:tcPr>
          <w:p w14:paraId="57B73656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Review of comprehension strategies</w:t>
            </w:r>
          </w:p>
        </w:tc>
        <w:tc>
          <w:tcPr>
            <w:tcW w:w="914" w:type="pct"/>
            <w:shd w:val="clear" w:color="auto" w:fill="auto"/>
          </w:tcPr>
          <w:p w14:paraId="2AAC6F50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Warm-up Material Guidelines</w:t>
            </w:r>
          </w:p>
        </w:tc>
      </w:tr>
      <w:tr w:rsidR="009F53D8" w:rsidRPr="003E6B22" w14:paraId="1891220C" w14:textId="77777777" w:rsidTr="009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42553FD7" w14:textId="7BEE009B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7F2DE507" w14:textId="77777777" w:rsidR="009F53D8" w:rsidRDefault="005E4E79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Repeated Reading</w:t>
            </w:r>
            <w:r w:rsidR="00E35D5B">
              <w:rPr>
                <w:b/>
                <w:sz w:val="18"/>
                <w:szCs w:val="20"/>
              </w:rPr>
              <w:t xml:space="preserve"> for Prosody &amp; Meaning</w:t>
            </w:r>
          </w:p>
          <w:p w14:paraId="5B7F01C2" w14:textId="1EB830B6" w:rsidR="005E4E79" w:rsidRPr="003E6B22" w:rsidRDefault="005E4E79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7C73A8">
              <w:rPr>
                <w:b/>
                <w:i/>
                <w:color w:val="FF0000"/>
                <w:sz w:val="14"/>
                <w:szCs w:val="20"/>
              </w:rPr>
              <w:t>Independent &amp; silent reading practice (with retelling)</w:t>
            </w:r>
          </w:p>
        </w:tc>
        <w:tc>
          <w:tcPr>
            <w:tcW w:w="2884" w:type="pct"/>
            <w:gridSpan w:val="2"/>
            <w:shd w:val="clear" w:color="auto" w:fill="auto"/>
          </w:tcPr>
          <w:p w14:paraId="3E32B3B5" w14:textId="3B717A1F" w:rsidR="005E4E79" w:rsidRPr="003E6B22" w:rsidRDefault="005E4E79" w:rsidP="005E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Grade level text made into readers’ theater using fluency rubric</w:t>
            </w:r>
            <w:r>
              <w:rPr>
                <w:sz w:val="18"/>
                <w:szCs w:val="20"/>
              </w:rPr>
              <w:t>.</w:t>
            </w:r>
            <w:r w:rsidRPr="003E6B22">
              <w:rPr>
                <w:sz w:val="18"/>
                <w:szCs w:val="20"/>
              </w:rPr>
              <w:t xml:space="preserve"> Switch to silent reading using instructional level text</w:t>
            </w:r>
            <w:r>
              <w:rPr>
                <w:sz w:val="18"/>
                <w:szCs w:val="20"/>
              </w:rPr>
              <w:br/>
            </w:r>
          </w:p>
          <w:p w14:paraId="3A24F7AD" w14:textId="77777777" w:rsidR="005E4E79" w:rsidRDefault="005E4E79" w:rsidP="005E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Lower</w:t>
            </w:r>
            <w:r w:rsidRPr="003E6B22">
              <w:rPr>
                <w:sz w:val="18"/>
                <w:szCs w:val="20"/>
              </w:rPr>
              <w:t xml:space="preserve"> the level of text for silent reading</w:t>
            </w:r>
          </w:p>
          <w:p w14:paraId="3E74A700" w14:textId="216C81B9" w:rsidR="009F53D8" w:rsidRPr="00DE2794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14:paraId="0602D5F6" w14:textId="77777777" w:rsidR="005E4E79" w:rsidRDefault="005E4E79" w:rsidP="005E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 xml:space="preserve">Fluency Materials Guidelines, </w:t>
            </w:r>
          </w:p>
          <w:p w14:paraId="35D6E7CE" w14:textId="77777777" w:rsidR="005E4E79" w:rsidRDefault="005E4E79" w:rsidP="005E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  <w:p w14:paraId="1C37825E" w14:textId="10878E79" w:rsidR="009F53D8" w:rsidRPr="003E6B22" w:rsidRDefault="005E4E79" w:rsidP="005E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Fluency Rubric</w:t>
            </w:r>
          </w:p>
        </w:tc>
      </w:tr>
      <w:tr w:rsidR="009F53D8" w:rsidRPr="003E6B22" w14:paraId="18D01851" w14:textId="77777777" w:rsidTr="009F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 w:val="restart"/>
            <w:shd w:val="clear" w:color="auto" w:fill="auto"/>
          </w:tcPr>
          <w:p w14:paraId="12D3EE4B" w14:textId="21EA7BC2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68D88EF0" w14:textId="77777777" w:rsidR="009F53D8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Vocabulary</w:t>
            </w:r>
          </w:p>
          <w:p w14:paraId="6769751B" w14:textId="56F07EA1" w:rsidR="005E4E79" w:rsidRPr="003E6B22" w:rsidRDefault="005E4E79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7C73A8">
              <w:rPr>
                <w:b/>
                <w:i/>
                <w:color w:val="FF0000"/>
                <w:sz w:val="14"/>
                <w:szCs w:val="14"/>
              </w:rPr>
              <w:t>Direct instruction</w:t>
            </w:r>
          </w:p>
        </w:tc>
        <w:tc>
          <w:tcPr>
            <w:tcW w:w="2884" w:type="pct"/>
            <w:gridSpan w:val="2"/>
          </w:tcPr>
          <w:p w14:paraId="0333EC26" w14:textId="5C3ED714" w:rsidR="009F53D8" w:rsidRPr="003E6B22" w:rsidRDefault="00066847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First day of unit: </w:t>
            </w:r>
            <w:r w:rsidR="009F53D8" w:rsidRPr="003E6B22">
              <w:rPr>
                <w:sz w:val="18"/>
                <w:szCs w:val="20"/>
              </w:rPr>
              <w:t>Three words chosen to represent the theme of the new reading, and to introduce that theme.</w:t>
            </w:r>
          </w:p>
        </w:tc>
        <w:tc>
          <w:tcPr>
            <w:tcW w:w="914" w:type="pct"/>
            <w:vMerge w:val="restart"/>
            <w:shd w:val="clear" w:color="auto" w:fill="auto"/>
          </w:tcPr>
          <w:p w14:paraId="79F72194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Six-Step Vocabulary Instruction Materials</w:t>
            </w:r>
          </w:p>
        </w:tc>
      </w:tr>
      <w:tr w:rsidR="009F53D8" w:rsidRPr="003E6B22" w14:paraId="50362F7E" w14:textId="77777777" w:rsidTr="009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/>
            <w:shd w:val="clear" w:color="auto" w:fill="auto"/>
          </w:tcPr>
          <w:p w14:paraId="0241950D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28FFBAFD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884" w:type="pct"/>
            <w:gridSpan w:val="2"/>
            <w:shd w:val="clear" w:color="auto" w:fill="auto"/>
          </w:tcPr>
          <w:p w14:paraId="43F045BE" w14:textId="71CE0B7B" w:rsidR="009F53D8" w:rsidRPr="003E6B22" w:rsidRDefault="00066847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Rest of the unit: </w:t>
            </w:r>
            <w:r w:rsidR="009F53D8" w:rsidRPr="003E6B22">
              <w:rPr>
                <w:sz w:val="18"/>
                <w:szCs w:val="20"/>
              </w:rPr>
              <w:t>Generative Morphology: Students learn a targeted Latin or Greek root, and apply it to new words.</w:t>
            </w:r>
          </w:p>
        </w:tc>
        <w:tc>
          <w:tcPr>
            <w:tcW w:w="914" w:type="pct"/>
            <w:vMerge/>
            <w:shd w:val="clear" w:color="auto" w:fill="auto"/>
          </w:tcPr>
          <w:p w14:paraId="73B05EEA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45212185" w14:textId="77777777" w:rsidTr="009F5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526D2BC5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25</w:t>
            </w:r>
          </w:p>
        </w:tc>
        <w:tc>
          <w:tcPr>
            <w:tcW w:w="796" w:type="pct"/>
            <w:shd w:val="clear" w:color="auto" w:fill="auto"/>
          </w:tcPr>
          <w:p w14:paraId="2A3D90C2" w14:textId="77777777" w:rsidR="009F53D8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Reciprocal Teaching with Visualization</w:t>
            </w:r>
          </w:p>
          <w:p w14:paraId="4134FACF" w14:textId="16E73A25" w:rsidR="005E4E79" w:rsidRPr="003E6B22" w:rsidRDefault="005E4E79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7C73A8">
              <w:rPr>
                <w:b/>
                <w:i/>
                <w:color w:val="FF0000"/>
                <w:sz w:val="14"/>
                <w:szCs w:val="20"/>
              </w:rPr>
              <w:t>Comprehension strategy instruction and student-let practice</w:t>
            </w:r>
          </w:p>
        </w:tc>
        <w:tc>
          <w:tcPr>
            <w:tcW w:w="2884" w:type="pct"/>
            <w:gridSpan w:val="2"/>
            <w:shd w:val="clear" w:color="auto" w:fill="auto"/>
          </w:tcPr>
          <w:p w14:paraId="428F8099" w14:textId="77777777" w:rsidR="00066847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Students begin to read the new story in groups, using reciprocal teaching to lead their comprehension</w:t>
            </w:r>
            <w:r w:rsidR="00066847">
              <w:rPr>
                <w:b/>
                <w:sz w:val="18"/>
                <w:szCs w:val="20"/>
              </w:rPr>
              <w:t xml:space="preserve"> </w:t>
            </w:r>
          </w:p>
          <w:p w14:paraId="746069E5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14:paraId="31CB77E5" w14:textId="77777777" w:rsidR="009F53D8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 xml:space="preserve">Reciprocal Teaching Material Guidelines, </w:t>
            </w:r>
          </w:p>
          <w:p w14:paraId="65C34FDA" w14:textId="77777777" w:rsidR="009F53D8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CAGES</w:t>
            </w:r>
          </w:p>
          <w:p w14:paraId="10DB38DD" w14:textId="2483B04B" w:rsidR="009F53D8" w:rsidRPr="00066847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</w:tr>
      <w:tr w:rsidR="009F53D8" w:rsidRPr="003E6B22" w14:paraId="1162FB4D" w14:textId="77777777" w:rsidTr="009F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230FBDBD" w14:textId="302F1EAF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796" w:type="pct"/>
            <w:shd w:val="clear" w:color="auto" w:fill="auto"/>
          </w:tcPr>
          <w:p w14:paraId="2DEECE02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Technology</w:t>
            </w:r>
          </w:p>
        </w:tc>
        <w:tc>
          <w:tcPr>
            <w:tcW w:w="2884" w:type="pct"/>
            <w:gridSpan w:val="2"/>
            <w:shd w:val="clear" w:color="auto" w:fill="auto"/>
          </w:tcPr>
          <w:p w14:paraId="70F8514E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Students work on their computers to present their visualization of the character, setting, or object.</w:t>
            </w:r>
          </w:p>
        </w:tc>
        <w:tc>
          <w:tcPr>
            <w:tcW w:w="914" w:type="pct"/>
            <w:shd w:val="clear" w:color="auto" w:fill="auto"/>
          </w:tcPr>
          <w:p w14:paraId="7D5E4E8C" w14:textId="77777777" w:rsidR="009F53D8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Annotated list of Technology options</w:t>
            </w:r>
          </w:p>
          <w:p w14:paraId="015412D4" w14:textId="77777777" w:rsidR="00066847" w:rsidRPr="003E6B22" w:rsidRDefault="00066847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0D02DDCE" w14:textId="77777777" w:rsidTr="001425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000000" w:themeFill="text1"/>
          </w:tcPr>
          <w:p w14:paraId="1D4F79DD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Fridays</w:t>
            </w:r>
          </w:p>
        </w:tc>
      </w:tr>
      <w:tr w:rsidR="009F53D8" w:rsidRPr="003E6B22" w14:paraId="72FBB8C1" w14:textId="77777777" w:rsidTr="0014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4203E0BF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25</w:t>
            </w:r>
          </w:p>
        </w:tc>
        <w:tc>
          <w:tcPr>
            <w:tcW w:w="796" w:type="pct"/>
            <w:shd w:val="clear" w:color="auto" w:fill="auto"/>
          </w:tcPr>
          <w:p w14:paraId="29D1C45C" w14:textId="77777777" w:rsidR="009F53D8" w:rsidRPr="003E6B22" w:rsidRDefault="009F53D8" w:rsidP="00142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Review</w:t>
            </w:r>
          </w:p>
        </w:tc>
        <w:tc>
          <w:tcPr>
            <w:tcW w:w="721" w:type="pct"/>
            <w:shd w:val="clear" w:color="auto" w:fill="auto"/>
          </w:tcPr>
          <w:p w14:paraId="6F66CBCB" w14:textId="77777777" w:rsidR="009F53D8" w:rsidRPr="003E6B22" w:rsidRDefault="009F53D8" w:rsidP="0014257B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First Friday of unit</w:t>
            </w:r>
          </w:p>
        </w:tc>
        <w:tc>
          <w:tcPr>
            <w:tcW w:w="2163" w:type="pct"/>
            <w:shd w:val="clear" w:color="auto" w:fill="auto"/>
          </w:tcPr>
          <w:p w14:paraId="55A52ACC" w14:textId="77777777" w:rsidR="009F53D8" w:rsidRPr="003E6B22" w:rsidRDefault="009F53D8" w:rsidP="0014257B">
            <w:pPr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Students do game-based review of the skills and story content they’ve learned so far.</w:t>
            </w:r>
          </w:p>
        </w:tc>
        <w:tc>
          <w:tcPr>
            <w:tcW w:w="914" w:type="pct"/>
            <w:shd w:val="clear" w:color="auto" w:fill="auto"/>
          </w:tcPr>
          <w:p w14:paraId="3C67BE49" w14:textId="3FD6A7DF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239987F2" w14:textId="77777777" w:rsidTr="001425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3DEBB3D5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25</w:t>
            </w:r>
          </w:p>
        </w:tc>
        <w:tc>
          <w:tcPr>
            <w:tcW w:w="796" w:type="pct"/>
            <w:shd w:val="clear" w:color="auto" w:fill="auto"/>
          </w:tcPr>
          <w:p w14:paraId="165EC5A1" w14:textId="77777777" w:rsidR="009F53D8" w:rsidRPr="003E6B22" w:rsidRDefault="009F53D8" w:rsidP="001425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Assessment</w:t>
            </w:r>
          </w:p>
        </w:tc>
        <w:tc>
          <w:tcPr>
            <w:tcW w:w="721" w:type="pct"/>
            <w:shd w:val="clear" w:color="auto" w:fill="auto"/>
          </w:tcPr>
          <w:p w14:paraId="4CD05D65" w14:textId="01365C95" w:rsidR="009F53D8" w:rsidRPr="003E6B22" w:rsidRDefault="00DE2794" w:rsidP="00DE2794">
            <w:pPr>
              <w:ind w:right="-10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Last</w:t>
            </w:r>
            <w:r w:rsidR="009F53D8" w:rsidRPr="003E6B2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day</w:t>
            </w:r>
            <w:r w:rsidR="009F53D8" w:rsidRPr="003E6B22">
              <w:rPr>
                <w:sz w:val="18"/>
                <w:szCs w:val="20"/>
              </w:rPr>
              <w:t xml:space="preserve"> of unit</w:t>
            </w:r>
          </w:p>
        </w:tc>
        <w:tc>
          <w:tcPr>
            <w:tcW w:w="2163" w:type="pct"/>
            <w:shd w:val="clear" w:color="auto" w:fill="auto"/>
          </w:tcPr>
          <w:p w14:paraId="0B66B9A7" w14:textId="77777777" w:rsidR="009F53D8" w:rsidRDefault="009F53D8" w:rsidP="0014257B">
            <w:pPr>
              <w:ind w:right="-19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 xml:space="preserve">Skills and content assessments alternating weeks. </w:t>
            </w:r>
          </w:p>
          <w:p w14:paraId="709BD676" w14:textId="77777777" w:rsidR="005E4E79" w:rsidRPr="003E6B22" w:rsidRDefault="005E4E79" w:rsidP="0014257B">
            <w:pPr>
              <w:ind w:right="-19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14:paraId="257F66DA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54F79D44" w14:textId="77777777" w:rsidTr="0014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54012515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4AF86C1F" w14:textId="77777777" w:rsidR="009F53D8" w:rsidRPr="003E6B22" w:rsidRDefault="009F53D8" w:rsidP="00142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Student Conferences</w:t>
            </w:r>
          </w:p>
        </w:tc>
        <w:tc>
          <w:tcPr>
            <w:tcW w:w="721" w:type="pct"/>
            <w:shd w:val="clear" w:color="auto" w:fill="auto"/>
          </w:tcPr>
          <w:p w14:paraId="3758C4C4" w14:textId="77777777" w:rsidR="009F53D8" w:rsidRPr="003E6B22" w:rsidRDefault="009F53D8" w:rsidP="0014257B">
            <w:pPr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All Fridays</w:t>
            </w:r>
          </w:p>
        </w:tc>
        <w:tc>
          <w:tcPr>
            <w:tcW w:w="2163" w:type="pct"/>
            <w:shd w:val="clear" w:color="auto" w:fill="auto"/>
          </w:tcPr>
          <w:p w14:paraId="6381756F" w14:textId="77777777" w:rsidR="009F53D8" w:rsidRPr="003E6B22" w:rsidRDefault="009F53D8" w:rsidP="0014257B">
            <w:pPr>
              <w:ind w:righ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Done one at a time while students are doing the review or assessment.</w:t>
            </w:r>
          </w:p>
        </w:tc>
        <w:tc>
          <w:tcPr>
            <w:tcW w:w="914" w:type="pct"/>
            <w:shd w:val="clear" w:color="auto" w:fill="auto"/>
          </w:tcPr>
          <w:p w14:paraId="7883022E" w14:textId="77777777" w:rsidR="009F53D8" w:rsidRPr="003E6B22" w:rsidRDefault="009F53D8" w:rsidP="0014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 xml:space="preserve">Student Conference Guidelines </w:t>
            </w:r>
          </w:p>
        </w:tc>
      </w:tr>
      <w:tr w:rsidR="009F53D8" w:rsidRPr="003E6B22" w14:paraId="654F6C9B" w14:textId="77777777" w:rsidTr="001425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auto"/>
          </w:tcPr>
          <w:p w14:paraId="3A590B9A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35</w:t>
            </w:r>
          </w:p>
        </w:tc>
        <w:tc>
          <w:tcPr>
            <w:tcW w:w="796" w:type="pct"/>
            <w:shd w:val="clear" w:color="auto" w:fill="auto"/>
          </w:tcPr>
          <w:p w14:paraId="051EDAE1" w14:textId="77777777" w:rsidR="009F53D8" w:rsidRPr="003E6B22" w:rsidRDefault="009F53D8" w:rsidP="001425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3E6B22">
              <w:rPr>
                <w:b/>
                <w:sz w:val="18"/>
                <w:szCs w:val="20"/>
              </w:rPr>
              <w:t>Presentations of Technology Work</w:t>
            </w:r>
          </w:p>
        </w:tc>
        <w:tc>
          <w:tcPr>
            <w:tcW w:w="721" w:type="pct"/>
            <w:shd w:val="clear" w:color="auto" w:fill="auto"/>
          </w:tcPr>
          <w:p w14:paraId="0BBFAB9B" w14:textId="77777777" w:rsidR="009F53D8" w:rsidRPr="003E6B22" w:rsidRDefault="009F53D8" w:rsidP="0014257B">
            <w:pPr>
              <w:ind w:right="-10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All Fridays</w:t>
            </w:r>
          </w:p>
        </w:tc>
        <w:tc>
          <w:tcPr>
            <w:tcW w:w="2163" w:type="pct"/>
            <w:shd w:val="clear" w:color="auto" w:fill="auto"/>
          </w:tcPr>
          <w:p w14:paraId="5326FFD2" w14:textId="77777777" w:rsidR="009F53D8" w:rsidRPr="003E6B22" w:rsidRDefault="009F53D8" w:rsidP="0014257B">
            <w:pPr>
              <w:ind w:right="-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  <w:r w:rsidRPr="003E6B22">
              <w:rPr>
                <w:sz w:val="18"/>
                <w:szCs w:val="20"/>
              </w:rPr>
              <w:t>Students do presentations of their work products from the previous four class sessions. Extra points for using vocabulary words in their spoken presentation.</w:t>
            </w:r>
          </w:p>
        </w:tc>
        <w:tc>
          <w:tcPr>
            <w:tcW w:w="914" w:type="pct"/>
            <w:shd w:val="clear" w:color="auto" w:fill="auto"/>
          </w:tcPr>
          <w:p w14:paraId="1A310311" w14:textId="77777777" w:rsidR="009F53D8" w:rsidRPr="003E6B22" w:rsidRDefault="009F53D8" w:rsidP="001425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9F53D8" w:rsidRPr="003E6B22" w14:paraId="7E7D1BCE" w14:textId="77777777" w:rsidTr="0014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000000" w:themeFill="text1"/>
          </w:tcPr>
          <w:p w14:paraId="33065073" w14:textId="77777777" w:rsidR="009F53D8" w:rsidRPr="003E6B22" w:rsidRDefault="009F53D8" w:rsidP="001425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96" w:type="pct"/>
            <w:shd w:val="clear" w:color="auto" w:fill="000000" w:themeFill="text1"/>
          </w:tcPr>
          <w:p w14:paraId="144912F6" w14:textId="77777777" w:rsidR="009F53D8" w:rsidRPr="003E6B22" w:rsidRDefault="009F53D8" w:rsidP="00142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721" w:type="pct"/>
            <w:shd w:val="clear" w:color="auto" w:fill="000000" w:themeFill="text1"/>
          </w:tcPr>
          <w:p w14:paraId="52693046" w14:textId="77777777" w:rsidR="009F53D8" w:rsidRPr="003E6B22" w:rsidRDefault="009F53D8" w:rsidP="0014257B">
            <w:pPr>
              <w:ind w:right="-1982" w:hanging="36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2163" w:type="pct"/>
            <w:shd w:val="clear" w:color="auto" w:fill="000000" w:themeFill="text1"/>
          </w:tcPr>
          <w:p w14:paraId="286DBD28" w14:textId="77777777" w:rsidR="009F53D8" w:rsidRPr="003E6B22" w:rsidRDefault="009F53D8" w:rsidP="0014257B">
            <w:pPr>
              <w:ind w:right="-1982" w:hanging="36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914" w:type="pct"/>
            <w:shd w:val="clear" w:color="auto" w:fill="000000" w:themeFill="text1"/>
          </w:tcPr>
          <w:p w14:paraId="14FE6533" w14:textId="77777777" w:rsidR="009F53D8" w:rsidRPr="003E6B22" w:rsidRDefault="009F53D8" w:rsidP="00142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14:paraId="662F65AF" w14:textId="18149C3A" w:rsidR="005C037E" w:rsidRPr="00C4279B" w:rsidRDefault="005C037E">
      <w:pPr>
        <w:rPr>
          <w:color w:val="000000" w:themeColor="text1"/>
        </w:rPr>
      </w:pPr>
    </w:p>
    <w:sectPr w:rsidR="005C037E" w:rsidRPr="00C4279B" w:rsidSect="005C037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D225" w14:textId="77777777" w:rsidR="00894180" w:rsidRDefault="00894180" w:rsidP="00A243D5">
      <w:r>
        <w:separator/>
      </w:r>
    </w:p>
  </w:endnote>
  <w:endnote w:type="continuationSeparator" w:id="0">
    <w:p w14:paraId="0D9F18FE" w14:textId="77777777" w:rsidR="00894180" w:rsidRDefault="00894180" w:rsidP="00A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7D0F7" w14:textId="77777777" w:rsidR="00894180" w:rsidRDefault="00894180" w:rsidP="00A243D5">
      <w:r>
        <w:separator/>
      </w:r>
    </w:p>
  </w:footnote>
  <w:footnote w:type="continuationSeparator" w:id="0">
    <w:p w14:paraId="590FDBA2" w14:textId="77777777" w:rsidR="00894180" w:rsidRDefault="00894180" w:rsidP="00A243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11E0" w14:textId="77777777" w:rsidR="00E35D5B" w:rsidRDefault="00E35D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98BA9" wp14:editId="29DFC902">
          <wp:simplePos x="0" y="0"/>
          <wp:positionH relativeFrom="column">
            <wp:posOffset>4648200</wp:posOffset>
          </wp:positionH>
          <wp:positionV relativeFrom="paragraph">
            <wp:posOffset>-228600</wp:posOffset>
          </wp:positionV>
          <wp:extent cx="1156335" cy="709930"/>
          <wp:effectExtent l="0" t="0" r="12065" b="1270"/>
          <wp:wrapNone/>
          <wp:docPr id="2" name="Picture 2" descr="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47C24"/>
    <w:multiLevelType w:val="multilevel"/>
    <w:tmpl w:val="5CC20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8640E"/>
    <w:multiLevelType w:val="hybridMultilevel"/>
    <w:tmpl w:val="980C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D5"/>
    <w:rsid w:val="00066847"/>
    <w:rsid w:val="000F4EFA"/>
    <w:rsid w:val="0011416D"/>
    <w:rsid w:val="00115841"/>
    <w:rsid w:val="0014257B"/>
    <w:rsid w:val="00184F94"/>
    <w:rsid w:val="00283BD6"/>
    <w:rsid w:val="002C24EE"/>
    <w:rsid w:val="003121DE"/>
    <w:rsid w:val="00323744"/>
    <w:rsid w:val="00380A53"/>
    <w:rsid w:val="003E6B22"/>
    <w:rsid w:val="0044522D"/>
    <w:rsid w:val="00494928"/>
    <w:rsid w:val="00531AE0"/>
    <w:rsid w:val="005A71F7"/>
    <w:rsid w:val="005C037E"/>
    <w:rsid w:val="005E4E79"/>
    <w:rsid w:val="00646A98"/>
    <w:rsid w:val="006A3E41"/>
    <w:rsid w:val="007037A7"/>
    <w:rsid w:val="00736CA7"/>
    <w:rsid w:val="00894180"/>
    <w:rsid w:val="008A53B9"/>
    <w:rsid w:val="008B15D7"/>
    <w:rsid w:val="008B6D8B"/>
    <w:rsid w:val="009F53D8"/>
    <w:rsid w:val="00A243D5"/>
    <w:rsid w:val="00AC665E"/>
    <w:rsid w:val="00AD6573"/>
    <w:rsid w:val="00B31105"/>
    <w:rsid w:val="00BE7E0A"/>
    <w:rsid w:val="00C06651"/>
    <w:rsid w:val="00C4279B"/>
    <w:rsid w:val="00C67AE8"/>
    <w:rsid w:val="00CC1AD6"/>
    <w:rsid w:val="00D30E21"/>
    <w:rsid w:val="00D43C1B"/>
    <w:rsid w:val="00DE2794"/>
    <w:rsid w:val="00E35D5B"/>
    <w:rsid w:val="00F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565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3D5"/>
  </w:style>
  <w:style w:type="paragraph" w:styleId="Footer">
    <w:name w:val="footer"/>
    <w:basedOn w:val="Normal"/>
    <w:link w:val="FooterChar"/>
    <w:uiPriority w:val="99"/>
    <w:unhideWhenUsed/>
    <w:rsid w:val="00A243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3D5"/>
  </w:style>
  <w:style w:type="table" w:styleId="TableGrid">
    <w:name w:val="Table Grid"/>
    <w:basedOn w:val="TableNormal"/>
    <w:uiPriority w:val="59"/>
    <w:rsid w:val="00A24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0A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380A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F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Macintosh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A. Spencer</dc:creator>
  <cp:keywords/>
  <dc:description/>
  <cp:lastModifiedBy>Young, Lindsay</cp:lastModifiedBy>
  <cp:revision>2</cp:revision>
  <cp:lastPrinted>2017-02-20T06:13:00Z</cp:lastPrinted>
  <dcterms:created xsi:type="dcterms:W3CDTF">2020-06-17T23:35:00Z</dcterms:created>
  <dcterms:modified xsi:type="dcterms:W3CDTF">2020-06-17T23:35:00Z</dcterms:modified>
</cp:coreProperties>
</file>